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微软雅黑" w:hAnsi="微软雅黑" w:eastAsia="微软雅黑"/>
          <w:b/>
          <w:sz w:val="18"/>
          <w:szCs w:val="18"/>
        </w:rPr>
      </w:pPr>
      <w:r>
        <w:rPr>
          <w:rFonts w:ascii="微软雅黑" w:hAnsi="微软雅黑" w:eastAsia="微软雅黑" w:cs="宋体"/>
          <w:sz w:val="18"/>
          <w:szCs w:val="18"/>
        </w:rPr>
        <w:drawing>
          <wp:anchor distT="0" distB="0" distL="114300" distR="114300" simplePos="0" relativeHeight="251659264" behindDoc="0" locked="0" layoutInCell="1" allowOverlap="1">
            <wp:simplePos x="0" y="0"/>
            <wp:positionH relativeFrom="column">
              <wp:posOffset>-1270</wp:posOffset>
            </wp:positionH>
            <wp:positionV relativeFrom="paragraph">
              <wp:posOffset>-252730</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spacing w:before="156" w:beforeLines="50"/>
        <w:jc w:val="center"/>
        <w:rPr>
          <w:rFonts w:ascii="微软雅黑" w:hAnsi="微软雅黑" w:eastAsia="微软雅黑"/>
          <w:b/>
          <w:szCs w:val="21"/>
        </w:rPr>
      </w:pPr>
      <w:r>
        <w:rPr>
          <w:rFonts w:hint="eastAsia" w:ascii="微软雅黑" w:hAnsi="微软雅黑" w:eastAsia="微软雅黑"/>
          <w:b/>
          <w:sz w:val="32"/>
          <w:szCs w:val="32"/>
        </w:rPr>
        <w:t>基金传真及电子文档委托服务协议书</w:t>
      </w:r>
    </w:p>
    <w:p>
      <w:pPr>
        <w:ind w:left="141" w:leftChars="67"/>
        <w:rPr>
          <w:sz w:val="18"/>
          <w:szCs w:val="18"/>
        </w:rPr>
      </w:pPr>
    </w:p>
    <w:p>
      <w:pPr>
        <w:ind w:firstLine="360" w:firstLineChars="200"/>
        <w:rPr>
          <w:sz w:val="18"/>
          <w:szCs w:val="18"/>
        </w:rPr>
      </w:pPr>
      <w:r>
        <w:rPr>
          <w:rFonts w:hint="eastAsia"/>
          <w:sz w:val="18"/>
          <w:szCs w:val="18"/>
        </w:rPr>
        <w:t>甲方：国新国证基金管理有限公司</w:t>
      </w:r>
    </w:p>
    <w:p>
      <w:pPr>
        <w:ind w:firstLine="360" w:firstLineChars="200"/>
        <w:rPr>
          <w:sz w:val="18"/>
          <w:szCs w:val="18"/>
        </w:rPr>
      </w:pPr>
      <w:r>
        <w:rPr>
          <w:rFonts w:hint="eastAsia"/>
          <w:sz w:val="18"/>
          <w:szCs w:val="18"/>
        </w:rPr>
        <w:t>乙方（投资者）：____________________________</w:t>
      </w:r>
    </w:p>
    <w:p>
      <w:pPr>
        <w:ind w:firstLine="360" w:firstLineChars="200"/>
        <w:rPr>
          <w:sz w:val="18"/>
          <w:szCs w:val="18"/>
        </w:rPr>
      </w:pPr>
      <w:r>
        <w:rPr>
          <w:rFonts w:hint="eastAsia"/>
          <w:sz w:val="18"/>
          <w:szCs w:val="18"/>
        </w:rPr>
        <w:t>乙方证件类型：____________________________</w:t>
      </w:r>
    </w:p>
    <w:p>
      <w:pPr>
        <w:ind w:firstLine="360" w:firstLineChars="200"/>
        <w:rPr>
          <w:sz w:val="18"/>
          <w:szCs w:val="18"/>
        </w:rPr>
      </w:pPr>
      <w:r>
        <w:rPr>
          <w:rFonts w:hint="eastAsia"/>
          <w:sz w:val="18"/>
          <w:szCs w:val="18"/>
        </w:rPr>
        <w:t>乙方证件号码：____________________________</w:t>
      </w:r>
    </w:p>
    <w:p>
      <w:pPr>
        <w:ind w:left="141" w:leftChars="67"/>
        <w:rPr>
          <w:sz w:val="18"/>
          <w:szCs w:val="18"/>
        </w:rPr>
      </w:pPr>
    </w:p>
    <w:p>
      <w:pPr>
        <w:ind w:left="141" w:leftChars="67" w:firstLine="360" w:firstLineChars="200"/>
        <w:rPr>
          <w:sz w:val="18"/>
          <w:szCs w:val="18"/>
        </w:rPr>
      </w:pPr>
      <w:r>
        <w:rPr>
          <w:rFonts w:hint="eastAsia"/>
          <w:sz w:val="18"/>
          <w:szCs w:val="18"/>
        </w:rPr>
        <w:t>为方便乙方在甲方办理基金业务，根据基金合同、招募说明书及甲方有关开放式基金业务规则，经甲乙双方友好协商，就乙方采用传真和电子文档方式向甲方提交基金业务申请事宜达成如下协议：</w:t>
      </w:r>
    </w:p>
    <w:p>
      <w:pPr>
        <w:ind w:left="141" w:leftChars="67" w:firstLine="360" w:firstLineChars="200"/>
        <w:rPr>
          <w:sz w:val="18"/>
          <w:szCs w:val="18"/>
        </w:rPr>
      </w:pPr>
      <w:r>
        <w:rPr>
          <w:rFonts w:hint="eastAsia"/>
          <w:sz w:val="18"/>
          <w:szCs w:val="18"/>
        </w:rPr>
        <w:t>一、甲方接受的乙方基金业务传真和电子文档服务内容包括：</w:t>
      </w:r>
    </w:p>
    <w:p>
      <w:pPr>
        <w:ind w:left="141" w:leftChars="67" w:firstLine="360" w:firstLineChars="200"/>
        <w:rPr>
          <w:sz w:val="18"/>
          <w:szCs w:val="18"/>
        </w:rPr>
      </w:pPr>
      <w:r>
        <w:rPr>
          <w:sz w:val="18"/>
          <w:szCs w:val="18"/>
        </w:rPr>
        <w:t>1</w:t>
      </w:r>
      <w:r>
        <w:rPr>
          <w:rFonts w:hint="eastAsia"/>
          <w:sz w:val="18"/>
          <w:szCs w:val="18"/>
        </w:rPr>
        <w:t>、账户类：开立基金账户、开立交易账户、变更投资者基本账户信息；</w:t>
      </w:r>
    </w:p>
    <w:p>
      <w:pPr>
        <w:ind w:left="141" w:leftChars="67" w:firstLine="360" w:firstLineChars="200"/>
        <w:rPr>
          <w:sz w:val="18"/>
          <w:szCs w:val="18"/>
        </w:rPr>
      </w:pPr>
      <w:r>
        <w:rPr>
          <w:rFonts w:hint="eastAsia"/>
          <w:sz w:val="18"/>
          <w:szCs w:val="18"/>
        </w:rPr>
        <w:t>2、交易类：认购、申购、赎回、定期定额投资、撤单、基金转换、转托管、设置分红方式。</w:t>
      </w:r>
    </w:p>
    <w:p>
      <w:pPr>
        <w:ind w:left="141" w:leftChars="67" w:firstLine="360" w:firstLineChars="200"/>
        <w:rPr>
          <w:sz w:val="18"/>
          <w:szCs w:val="18"/>
        </w:rPr>
      </w:pPr>
      <w:r>
        <w:rPr>
          <w:rFonts w:hint="eastAsia"/>
          <w:sz w:val="18"/>
          <w:szCs w:val="18"/>
        </w:rPr>
        <w:t>除上述内容之外，甲方不接受乙方办理其它基金业务的传真和电子文档申请。</w:t>
      </w:r>
    </w:p>
    <w:p>
      <w:pPr>
        <w:ind w:left="141" w:leftChars="67" w:firstLine="360" w:firstLineChars="200"/>
        <w:rPr>
          <w:sz w:val="18"/>
          <w:szCs w:val="18"/>
        </w:rPr>
      </w:pPr>
      <w:r>
        <w:rPr>
          <w:rFonts w:hint="eastAsia"/>
          <w:sz w:val="18"/>
          <w:szCs w:val="18"/>
        </w:rPr>
        <w:t>二、在基金开放日委托申请的有效受理时间为9：00-15：00，如乙方在15：00后提交传真和电子文档业务申请，则该申请顺延至下一个工作日受理。</w:t>
      </w:r>
    </w:p>
    <w:p>
      <w:pPr>
        <w:ind w:left="141" w:leftChars="67" w:firstLine="360" w:firstLineChars="200"/>
        <w:rPr>
          <w:sz w:val="18"/>
          <w:szCs w:val="18"/>
        </w:rPr>
      </w:pPr>
      <w:r>
        <w:rPr>
          <w:rFonts w:hint="eastAsia"/>
          <w:sz w:val="18"/>
          <w:szCs w:val="18"/>
        </w:rPr>
        <w:t>三、乙方办理本协议第一条所述业务时，应根据不同的业务内容，按照甲方提供的业务表格填写有关业务申请。申请表应传真至甲方的基金业务传真服务号码或发送电子文档至指定邮箱。甲方必须严格根据乙方申请表所填写信息受理申请。因下列事由之一发生，甲方可不予受理，且不承担责任：</w:t>
      </w:r>
    </w:p>
    <w:p>
      <w:pPr>
        <w:ind w:left="141" w:leftChars="67" w:firstLine="360" w:firstLineChars="200"/>
        <w:rPr>
          <w:sz w:val="18"/>
          <w:szCs w:val="18"/>
        </w:rPr>
      </w:pPr>
      <w:r>
        <w:rPr>
          <w:sz w:val="18"/>
          <w:szCs w:val="18"/>
        </w:rPr>
        <w:t>1</w:t>
      </w:r>
      <w:r>
        <w:rPr>
          <w:rFonts w:hint="eastAsia"/>
          <w:sz w:val="18"/>
          <w:szCs w:val="18"/>
        </w:rPr>
        <w:t>、甲方未收到乙方传真和电子文档；</w:t>
      </w:r>
    </w:p>
    <w:p>
      <w:pPr>
        <w:ind w:left="141" w:leftChars="67" w:firstLine="360" w:firstLineChars="200"/>
        <w:rPr>
          <w:sz w:val="18"/>
          <w:szCs w:val="18"/>
        </w:rPr>
      </w:pPr>
      <w:r>
        <w:rPr>
          <w:sz w:val="18"/>
          <w:szCs w:val="18"/>
        </w:rPr>
        <w:t>2</w:t>
      </w:r>
      <w:r>
        <w:rPr>
          <w:rFonts w:hint="eastAsia"/>
          <w:sz w:val="18"/>
          <w:szCs w:val="18"/>
        </w:rPr>
        <w:t>、甲方接收到的乙方传真和电子文档信息不准确、不完整、不清晰；</w:t>
      </w:r>
    </w:p>
    <w:p>
      <w:pPr>
        <w:ind w:left="141" w:leftChars="67" w:firstLine="360" w:firstLineChars="200"/>
        <w:rPr>
          <w:sz w:val="18"/>
          <w:szCs w:val="18"/>
        </w:rPr>
      </w:pPr>
      <w:r>
        <w:rPr>
          <w:sz w:val="18"/>
          <w:szCs w:val="18"/>
        </w:rPr>
        <w:t>3</w:t>
      </w:r>
      <w:r>
        <w:rPr>
          <w:rFonts w:hint="eastAsia"/>
          <w:sz w:val="18"/>
          <w:szCs w:val="18"/>
        </w:rPr>
        <w:t>、乙方将申请资料传真至甲方公布的基金业务传真服务号码之外的其它甲方公司的传真号码或未发送至指定邮箱而导致直销柜台未在受理时间内收到；</w:t>
      </w:r>
    </w:p>
    <w:p>
      <w:pPr>
        <w:ind w:left="141" w:leftChars="67" w:firstLine="360" w:firstLineChars="200"/>
        <w:rPr>
          <w:sz w:val="18"/>
          <w:szCs w:val="18"/>
        </w:rPr>
      </w:pPr>
      <w:r>
        <w:rPr>
          <w:rFonts w:hint="eastAsia"/>
          <w:sz w:val="18"/>
          <w:szCs w:val="18"/>
        </w:rPr>
        <w:t>4、乙方违反法律法规、基金合同或甲方业务规则等使甲方无法受理。</w:t>
      </w:r>
    </w:p>
    <w:p>
      <w:pPr>
        <w:ind w:left="141" w:leftChars="67" w:firstLine="360" w:firstLineChars="200"/>
        <w:rPr>
          <w:sz w:val="18"/>
          <w:szCs w:val="18"/>
        </w:rPr>
      </w:pPr>
      <w:r>
        <w:rPr>
          <w:rFonts w:hint="eastAsia"/>
          <w:sz w:val="18"/>
          <w:szCs w:val="18"/>
        </w:rPr>
        <w:t>四、乙方发出传真或电子文档后，应以电话方式向甲方受理业务的直销柜台确认，由于传真设备故障致使甲方未能收到乙方的传真申请或未收到电子文档申请，乙方又未进行电话确认，甲方对此不承担责任。如甲方基金业务传真服务号码或邮箱变更，甲方应在其网站上及时公布。</w:t>
      </w:r>
    </w:p>
    <w:p>
      <w:pPr>
        <w:ind w:left="141" w:leftChars="67" w:firstLine="360" w:firstLineChars="200"/>
        <w:rPr>
          <w:sz w:val="18"/>
          <w:szCs w:val="18"/>
        </w:rPr>
      </w:pPr>
      <w:r>
        <w:rPr>
          <w:rFonts w:hint="eastAsia"/>
          <w:sz w:val="18"/>
          <w:szCs w:val="18"/>
        </w:rPr>
        <w:t>五、甲方对于乙方在本协议第二条约定的有效受理时间内提交的传真或电子文档业务申请，在收到传真或电子文档后应及时进行处理。在处理过程中，甲方将对乙方的证件传真件或电子文档与其预留证件复印件进行表面真实性的核对，但甲方对于乙方传真或电子文档申请表中印鉴是否真实和是否为乙方真实意愿表示，不承担法律责任。如因乙方开户时预留联系方式有误致使甲方无法与乙方取得联系而导致甲方受理业务信息有误，甲方不承担法律责任。</w:t>
      </w:r>
    </w:p>
    <w:p>
      <w:pPr>
        <w:ind w:left="141" w:leftChars="67" w:firstLine="360" w:firstLineChars="200"/>
        <w:rPr>
          <w:sz w:val="18"/>
          <w:szCs w:val="18"/>
        </w:rPr>
      </w:pPr>
      <w:r>
        <w:rPr>
          <w:rFonts w:hint="eastAsia"/>
          <w:sz w:val="18"/>
          <w:szCs w:val="18"/>
        </w:rPr>
        <w:t>六、乙方须将委托申请的传真或电子文档原件及其他各类业务填写申请表原件、资料复印件以挂号、特快专递等方式于五日内寄送甲方（以邮戳时间为准）。如果甲方在受理业务30日内收不到乙方邮寄的申请资料原件，则甲方视同乙方的传真或电子文档件与其传真或电子文档原件具有同等法律效力。</w:t>
      </w:r>
    </w:p>
    <w:p>
      <w:pPr>
        <w:ind w:left="141" w:leftChars="67" w:firstLine="360" w:firstLineChars="200"/>
        <w:rPr>
          <w:sz w:val="18"/>
          <w:szCs w:val="18"/>
        </w:rPr>
      </w:pPr>
      <w:r>
        <w:rPr>
          <w:rFonts w:hint="eastAsia"/>
          <w:sz w:val="18"/>
          <w:szCs w:val="18"/>
        </w:rPr>
        <w:t>当原件与传真件或扫描件不一致时，以传真件或扫描件为准。如甲方未收到乙方寄送的申请表原件，则以乙方在交易当日发送的传真件或扫描件为有效交易单据，并进行存档保留。</w:t>
      </w:r>
    </w:p>
    <w:p>
      <w:pPr>
        <w:ind w:left="141" w:leftChars="67" w:firstLine="360" w:firstLineChars="200"/>
        <w:rPr>
          <w:sz w:val="18"/>
          <w:szCs w:val="18"/>
        </w:rPr>
      </w:pPr>
      <w:r>
        <w:rPr>
          <w:rFonts w:hint="eastAsia"/>
          <w:sz w:val="18"/>
          <w:szCs w:val="18"/>
        </w:rPr>
        <w:t>七、乙方传真交易的申（认）购交易申请与资金均应在申请当日15:00前到达甲方，甲方收到乙方传真交易的申（认）购交易申请后，应在验证资金到账后受理申请；乙方传真交易的申（认）购交易申请与资金在当日15:00以后到达甲方的，甲方次日受理。</w:t>
      </w:r>
    </w:p>
    <w:p>
      <w:pPr>
        <w:ind w:left="141" w:leftChars="67" w:firstLine="360" w:firstLineChars="200"/>
        <w:rPr>
          <w:sz w:val="18"/>
          <w:szCs w:val="18"/>
        </w:rPr>
      </w:pPr>
      <w:r>
        <w:rPr>
          <w:rFonts w:hint="eastAsia"/>
          <w:sz w:val="18"/>
          <w:szCs w:val="18"/>
        </w:rPr>
        <w:t>八、甲方收到乙方传真交易的赎回交易申请后，应在验证交易账户内有足够基金余额后受理申请。如果账户内基金余额不足，该申请将被视为无效申请。</w:t>
      </w:r>
    </w:p>
    <w:p>
      <w:pPr>
        <w:ind w:left="141" w:leftChars="67" w:firstLine="360" w:firstLineChars="200"/>
        <w:rPr>
          <w:sz w:val="18"/>
          <w:szCs w:val="18"/>
        </w:rPr>
      </w:pPr>
      <w:r>
        <w:rPr>
          <w:rFonts w:hint="eastAsia"/>
          <w:sz w:val="18"/>
          <w:szCs w:val="18"/>
        </w:rPr>
        <w:t>九、甲方因不可预期的通讯线路堵塞、传输不良、通讯中断、断电、委托系统故障、自然灾害等不可抗力因素导致的无法接收、无法受理或延迟接收、延迟受理乙方的申请，甲方不承担任何经济、法律责任。</w:t>
      </w:r>
    </w:p>
    <w:p>
      <w:pPr>
        <w:ind w:left="141" w:leftChars="67" w:firstLine="360" w:firstLineChars="200"/>
        <w:rPr>
          <w:sz w:val="18"/>
          <w:szCs w:val="18"/>
        </w:rPr>
      </w:pPr>
      <w:r>
        <w:rPr>
          <w:rFonts w:hint="eastAsia"/>
          <w:sz w:val="18"/>
          <w:szCs w:val="18"/>
        </w:rPr>
        <w:t>十、甲方保留修改或增删本协议内容的权利。修改条款的通知将公告于甲方的网站。</w:t>
      </w:r>
    </w:p>
    <w:p>
      <w:pPr>
        <w:ind w:left="141" w:leftChars="67" w:firstLine="360" w:firstLineChars="200"/>
        <w:rPr>
          <w:sz w:val="18"/>
          <w:szCs w:val="18"/>
        </w:rPr>
      </w:pPr>
      <w:r>
        <w:rPr>
          <w:rFonts w:hint="eastAsia"/>
          <w:sz w:val="18"/>
          <w:szCs w:val="18"/>
        </w:rPr>
        <w:t>十一、本协议签署后，若有关法律法规、基金合同、招募说明书和其它甲方和乙方应共同遵守的文件发生修订，本协议与之不相适应的内容及条款自行失效，但本协议其它内容和条款继续有效。</w:t>
      </w:r>
    </w:p>
    <w:p>
      <w:pPr>
        <w:ind w:left="141" w:leftChars="67" w:firstLine="360" w:firstLineChars="200"/>
        <w:rPr>
          <w:rFonts w:hint="eastAsia"/>
          <w:sz w:val="18"/>
          <w:szCs w:val="18"/>
        </w:rPr>
      </w:pPr>
      <w:r>
        <w:rPr>
          <w:rFonts w:hint="eastAsia"/>
          <w:sz w:val="18"/>
          <w:szCs w:val="18"/>
        </w:rPr>
        <w:t>十二、本协议在甲乙双方签署后立即生效，至甲方收到乙方终止本协议的书面通知时终止。</w:t>
      </w:r>
    </w:p>
    <w:p>
      <w:pPr>
        <w:ind w:left="141" w:leftChars="67" w:firstLine="640" w:firstLineChars="200"/>
        <w:rPr>
          <w:rFonts w:hint="eastAsia"/>
          <w:sz w:val="18"/>
          <w:szCs w:val="18"/>
        </w:rPr>
      </w:pPr>
      <w:r>
        <w:rPr>
          <w:rFonts w:ascii="微软雅黑" w:hAnsi="微软雅黑" w:eastAsia="微软雅黑" w:cs="宋体"/>
          <w:sz w:val="32"/>
          <w:szCs w:val="32"/>
        </w:rPr>
        <w:drawing>
          <wp:anchor distT="0" distB="0" distL="114300" distR="114300" simplePos="0" relativeHeight="251660288" behindDoc="0" locked="0" layoutInCell="1" allowOverlap="1">
            <wp:simplePos x="0" y="0"/>
            <wp:positionH relativeFrom="column">
              <wp:posOffset>3175</wp:posOffset>
            </wp:positionH>
            <wp:positionV relativeFrom="paragraph">
              <wp:posOffset>-219075</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ind w:left="141" w:leftChars="67" w:firstLine="360" w:firstLineChars="200"/>
        <w:rPr>
          <w:sz w:val="18"/>
          <w:szCs w:val="18"/>
        </w:rPr>
      </w:pPr>
      <w:r>
        <w:rPr>
          <w:rFonts w:hint="eastAsia"/>
          <w:sz w:val="18"/>
          <w:szCs w:val="18"/>
        </w:rPr>
        <w:t>十三、本协议的争议解决方式与基金合同的约定一致。</w:t>
      </w:r>
    </w:p>
    <w:p>
      <w:pPr>
        <w:ind w:left="141" w:leftChars="67" w:firstLine="360" w:firstLineChars="200"/>
        <w:rPr>
          <w:sz w:val="18"/>
          <w:szCs w:val="18"/>
        </w:rPr>
      </w:pPr>
      <w:r>
        <w:rPr>
          <w:rFonts w:hint="eastAsia"/>
          <w:sz w:val="18"/>
          <w:szCs w:val="18"/>
        </w:rPr>
        <w:t>十四、本协议未尽事宜，双方协商解决。</w:t>
      </w:r>
    </w:p>
    <w:p>
      <w:pPr>
        <w:ind w:left="141" w:leftChars="67" w:firstLine="360" w:firstLineChars="200"/>
        <w:rPr>
          <w:sz w:val="18"/>
          <w:szCs w:val="18"/>
        </w:rPr>
      </w:pPr>
      <w:r>
        <w:rPr>
          <w:rFonts w:hint="eastAsia"/>
          <w:sz w:val="18"/>
          <w:szCs w:val="18"/>
        </w:rPr>
        <w:t>十五、本协议一式两份，甲方和乙方各执一份，具有同等法律效力。</w:t>
      </w:r>
    </w:p>
    <w:p>
      <w:pPr>
        <w:ind w:left="141" w:leftChars="67" w:firstLine="360" w:firstLineChars="200"/>
        <w:rPr>
          <w:sz w:val="18"/>
          <w:szCs w:val="18"/>
        </w:rPr>
      </w:pPr>
      <w:r>
        <w:rPr>
          <w:rFonts w:hint="eastAsia"/>
          <w:sz w:val="18"/>
          <w:szCs w:val="18"/>
        </w:rPr>
        <w:t xml:space="preserve">附：原件寄送地址：北京朝阳区朝阳门北大街18号中国人保寿险大厦11层  </w:t>
      </w:r>
      <w:r>
        <w:rPr>
          <w:rFonts w:hint="eastAsia" w:ascii="宋体" w:hAnsi="宋体" w:cs="宋体"/>
          <w:kern w:val="0"/>
          <w:sz w:val="18"/>
          <w:szCs w:val="18"/>
        </w:rPr>
        <w:t xml:space="preserve">邮编：100020  </w:t>
      </w:r>
      <w:r>
        <w:rPr>
          <w:rFonts w:hint="eastAsia"/>
          <w:sz w:val="18"/>
          <w:szCs w:val="18"/>
        </w:rPr>
        <w:t>电话：</w:t>
      </w:r>
      <w:r>
        <w:rPr>
          <w:sz w:val="18"/>
          <w:szCs w:val="18"/>
        </w:rPr>
        <w:t>0</w:t>
      </w:r>
      <w:r>
        <w:rPr>
          <w:rFonts w:hint="eastAsia"/>
          <w:sz w:val="18"/>
          <w:szCs w:val="18"/>
        </w:rPr>
        <w:t>10-</w:t>
      </w:r>
      <w:r>
        <w:rPr>
          <w:sz w:val="18"/>
          <w:szCs w:val="18"/>
        </w:rPr>
        <w:t>5</w:t>
      </w:r>
      <w:r>
        <w:rPr>
          <w:rFonts w:hint="eastAsia"/>
          <w:sz w:val="18"/>
          <w:szCs w:val="18"/>
        </w:rPr>
        <w:t>9315659</w:t>
      </w:r>
    </w:p>
    <w:p>
      <w:pPr>
        <w:ind w:left="141" w:leftChars="67" w:firstLine="720" w:firstLineChars="400"/>
        <w:rPr>
          <w:sz w:val="18"/>
          <w:szCs w:val="18"/>
        </w:rPr>
      </w:pPr>
      <w:r>
        <w:rPr>
          <w:rFonts w:hint="eastAsia"/>
          <w:sz w:val="18"/>
          <w:szCs w:val="18"/>
        </w:rPr>
        <w:t>传真号码：</w:t>
      </w:r>
      <w:r>
        <w:rPr>
          <w:sz w:val="18"/>
          <w:szCs w:val="18"/>
        </w:rPr>
        <w:t>010-</w:t>
      </w:r>
      <w:r>
        <w:rPr>
          <w:rFonts w:hint="eastAsia"/>
          <w:sz w:val="18"/>
          <w:szCs w:val="18"/>
        </w:rPr>
        <w:t>59315600     电子邮箱：service@</w:t>
      </w:r>
      <w:r>
        <w:rPr>
          <w:rFonts w:hint="eastAsia"/>
          <w:sz w:val="18"/>
          <w:szCs w:val="18"/>
          <w:lang w:val="en-US" w:eastAsia="zh-CN"/>
        </w:rPr>
        <w:t>crs</w:t>
      </w:r>
      <w:bookmarkStart w:id="0" w:name="_GoBack"/>
      <w:bookmarkEnd w:id="0"/>
      <w:r>
        <w:rPr>
          <w:rFonts w:hint="eastAsia"/>
          <w:sz w:val="18"/>
          <w:szCs w:val="18"/>
        </w:rPr>
        <w:t>fund.com.cn     客服电话号码：400-819-0789</w:t>
      </w:r>
    </w:p>
    <w:p>
      <w:pPr>
        <w:ind w:left="141" w:leftChars="67" w:firstLine="360" w:firstLineChars="200"/>
        <w:rPr>
          <w:sz w:val="18"/>
          <w:szCs w:val="18"/>
        </w:rPr>
      </w:pPr>
    </w:p>
    <w:p>
      <w:pPr>
        <w:ind w:left="141" w:leftChars="67" w:firstLine="360" w:firstLineChars="200"/>
        <w:rPr>
          <w:sz w:val="18"/>
          <w:szCs w:val="18"/>
        </w:rPr>
      </w:pPr>
      <w:r>
        <w:rPr>
          <w:rFonts w:hint="eastAsia"/>
          <w:sz w:val="18"/>
          <w:szCs w:val="18"/>
        </w:rPr>
        <w:t>甲方（签章）：国新国证基金管理有限公司</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 xml:space="preserve">乙方（签章）：________________________ </w:t>
      </w:r>
    </w:p>
    <w:p>
      <w:pPr>
        <w:ind w:left="141" w:leftChars="67" w:firstLine="360" w:firstLineChars="200"/>
        <w:rPr>
          <w:sz w:val="18"/>
          <w:szCs w:val="18"/>
        </w:rPr>
      </w:pPr>
      <w:r>
        <w:rPr>
          <w:rFonts w:hint="eastAsia"/>
          <w:sz w:val="18"/>
          <w:szCs w:val="18"/>
        </w:rPr>
        <w:t>日期：___________________________</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 xml:space="preserve">     日期：_______________________________ </w:t>
      </w:r>
    </w:p>
    <w:sectPr>
      <w:footerReference r:id="rId3"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3703213"/>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0679E"/>
    <w:rsid w:val="000152BF"/>
    <w:rsid w:val="00015FCE"/>
    <w:rsid w:val="000444CE"/>
    <w:rsid w:val="00066D3C"/>
    <w:rsid w:val="00071A36"/>
    <w:rsid w:val="00073731"/>
    <w:rsid w:val="000737AC"/>
    <w:rsid w:val="0009444D"/>
    <w:rsid w:val="000C1A16"/>
    <w:rsid w:val="000F10FA"/>
    <w:rsid w:val="000F76BE"/>
    <w:rsid w:val="00132353"/>
    <w:rsid w:val="00133161"/>
    <w:rsid w:val="001340F3"/>
    <w:rsid w:val="001433F0"/>
    <w:rsid w:val="00160DF1"/>
    <w:rsid w:val="001617A1"/>
    <w:rsid w:val="001966CB"/>
    <w:rsid w:val="001A1E4E"/>
    <w:rsid w:val="001B029A"/>
    <w:rsid w:val="001E4E2E"/>
    <w:rsid w:val="001F75D2"/>
    <w:rsid w:val="001F7EDB"/>
    <w:rsid w:val="00203083"/>
    <w:rsid w:val="0020590B"/>
    <w:rsid w:val="00217E30"/>
    <w:rsid w:val="002562F1"/>
    <w:rsid w:val="002D28A7"/>
    <w:rsid w:val="00365590"/>
    <w:rsid w:val="00367F88"/>
    <w:rsid w:val="00385C6F"/>
    <w:rsid w:val="003A06DA"/>
    <w:rsid w:val="003B00CF"/>
    <w:rsid w:val="003D20EF"/>
    <w:rsid w:val="003D44B9"/>
    <w:rsid w:val="003E206D"/>
    <w:rsid w:val="00401EB1"/>
    <w:rsid w:val="00421AFD"/>
    <w:rsid w:val="00477CC7"/>
    <w:rsid w:val="004800BA"/>
    <w:rsid w:val="00480AE0"/>
    <w:rsid w:val="00487259"/>
    <w:rsid w:val="004956F6"/>
    <w:rsid w:val="00497DCB"/>
    <w:rsid w:val="005205CE"/>
    <w:rsid w:val="0054324E"/>
    <w:rsid w:val="00551F5D"/>
    <w:rsid w:val="0056104E"/>
    <w:rsid w:val="0057436C"/>
    <w:rsid w:val="00587A3A"/>
    <w:rsid w:val="00591C7F"/>
    <w:rsid w:val="00596C76"/>
    <w:rsid w:val="005E00AB"/>
    <w:rsid w:val="005E7DF2"/>
    <w:rsid w:val="00607B08"/>
    <w:rsid w:val="006103AD"/>
    <w:rsid w:val="006270AB"/>
    <w:rsid w:val="00642437"/>
    <w:rsid w:val="006447A6"/>
    <w:rsid w:val="00646C08"/>
    <w:rsid w:val="0065733B"/>
    <w:rsid w:val="006729CE"/>
    <w:rsid w:val="00672B28"/>
    <w:rsid w:val="00693AD3"/>
    <w:rsid w:val="006A50DF"/>
    <w:rsid w:val="006B3F5E"/>
    <w:rsid w:val="006D34AA"/>
    <w:rsid w:val="007141F4"/>
    <w:rsid w:val="00742A12"/>
    <w:rsid w:val="007661A7"/>
    <w:rsid w:val="00767F7D"/>
    <w:rsid w:val="00791122"/>
    <w:rsid w:val="0079302F"/>
    <w:rsid w:val="007B6693"/>
    <w:rsid w:val="007C628A"/>
    <w:rsid w:val="00806B40"/>
    <w:rsid w:val="008140F0"/>
    <w:rsid w:val="00843460"/>
    <w:rsid w:val="008821BF"/>
    <w:rsid w:val="008925B0"/>
    <w:rsid w:val="008B418D"/>
    <w:rsid w:val="008B56DB"/>
    <w:rsid w:val="008C272E"/>
    <w:rsid w:val="008E6976"/>
    <w:rsid w:val="008F187B"/>
    <w:rsid w:val="009018C7"/>
    <w:rsid w:val="009203E8"/>
    <w:rsid w:val="009214AB"/>
    <w:rsid w:val="009235D9"/>
    <w:rsid w:val="009249DD"/>
    <w:rsid w:val="00942CFB"/>
    <w:rsid w:val="009501C2"/>
    <w:rsid w:val="009763C9"/>
    <w:rsid w:val="00995BFF"/>
    <w:rsid w:val="009B003D"/>
    <w:rsid w:val="009B03F0"/>
    <w:rsid w:val="009C3231"/>
    <w:rsid w:val="009F3CA1"/>
    <w:rsid w:val="00A33288"/>
    <w:rsid w:val="00A51767"/>
    <w:rsid w:val="00A65A41"/>
    <w:rsid w:val="00A66627"/>
    <w:rsid w:val="00A67D1A"/>
    <w:rsid w:val="00A73D9A"/>
    <w:rsid w:val="00A76EAF"/>
    <w:rsid w:val="00A96B46"/>
    <w:rsid w:val="00AB72B1"/>
    <w:rsid w:val="00AD5B77"/>
    <w:rsid w:val="00AF52C4"/>
    <w:rsid w:val="00B36EA3"/>
    <w:rsid w:val="00B54A34"/>
    <w:rsid w:val="00B57201"/>
    <w:rsid w:val="00B8566C"/>
    <w:rsid w:val="00BA252C"/>
    <w:rsid w:val="00BA4111"/>
    <w:rsid w:val="00C127B8"/>
    <w:rsid w:val="00C143A9"/>
    <w:rsid w:val="00C3706B"/>
    <w:rsid w:val="00C923B0"/>
    <w:rsid w:val="00CE2C77"/>
    <w:rsid w:val="00CE3C33"/>
    <w:rsid w:val="00D0507F"/>
    <w:rsid w:val="00D3016A"/>
    <w:rsid w:val="00D5549C"/>
    <w:rsid w:val="00D63D37"/>
    <w:rsid w:val="00D847FA"/>
    <w:rsid w:val="00D9302A"/>
    <w:rsid w:val="00DB710F"/>
    <w:rsid w:val="00DE69D2"/>
    <w:rsid w:val="00DF0D90"/>
    <w:rsid w:val="00E00E56"/>
    <w:rsid w:val="00E0672B"/>
    <w:rsid w:val="00E1071F"/>
    <w:rsid w:val="00E5106E"/>
    <w:rsid w:val="00E827D1"/>
    <w:rsid w:val="00EB0F35"/>
    <w:rsid w:val="00ED17E5"/>
    <w:rsid w:val="00EF6EA6"/>
    <w:rsid w:val="00F106E9"/>
    <w:rsid w:val="00F10FCA"/>
    <w:rsid w:val="00F13723"/>
    <w:rsid w:val="00F1628B"/>
    <w:rsid w:val="00F26D32"/>
    <w:rsid w:val="00F4700B"/>
    <w:rsid w:val="00FC5E1A"/>
    <w:rsid w:val="00FD0053"/>
    <w:rsid w:val="00FD1DC6"/>
    <w:rsid w:val="00FD360D"/>
    <w:rsid w:val="00FF62F8"/>
    <w:rsid w:val="207C60DF"/>
    <w:rsid w:val="5DB26840"/>
    <w:rsid w:val="739D3B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7"/>
    <w:semiHidden/>
    <w:unhideWhenUsed/>
    <w:qFormat/>
    <w:uiPriority w:val="99"/>
    <w:pPr>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Title"/>
    <w:basedOn w:val="1"/>
    <w:next w:val="1"/>
    <w:link w:val="21"/>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6"/>
    <w:next w:val="6"/>
    <w:link w:val="28"/>
    <w:semiHidden/>
    <w:unhideWhenUsed/>
    <w:qFormat/>
    <w:uiPriority w:val="99"/>
    <w:rPr>
      <w:b/>
      <w:bCs/>
    </w:rPr>
  </w:style>
  <w:style w:type="table" w:styleId="14">
    <w:name w:val="Table Grid"/>
    <w:basedOn w:val="1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customStyle="1" w:styleId="17">
    <w:name w:val="页眉 Char"/>
    <w:basedOn w:val="15"/>
    <w:link w:val="9"/>
    <w:uiPriority w:val="99"/>
    <w:rPr>
      <w:sz w:val="18"/>
      <w:szCs w:val="18"/>
    </w:rPr>
  </w:style>
  <w:style w:type="character" w:customStyle="1" w:styleId="18">
    <w:name w:val="页脚 Char"/>
    <w:basedOn w:val="15"/>
    <w:link w:val="8"/>
    <w:qFormat/>
    <w:uiPriority w:val="99"/>
    <w:rPr>
      <w:sz w:val="18"/>
      <w:szCs w:val="18"/>
    </w:rPr>
  </w:style>
  <w:style w:type="character" w:customStyle="1" w:styleId="19">
    <w:name w:val="批注框文本 Char"/>
    <w:basedOn w:val="15"/>
    <w:link w:val="7"/>
    <w:semiHidden/>
    <w:uiPriority w:val="99"/>
    <w:rPr>
      <w:rFonts w:ascii="Times New Roman" w:hAnsi="Times New Roman" w:eastAsia="宋体" w:cs="Times New Roman"/>
      <w:sz w:val="18"/>
      <w:szCs w:val="18"/>
    </w:rPr>
  </w:style>
  <w:style w:type="paragraph" w:styleId="20">
    <w:name w:val="List Paragraph"/>
    <w:basedOn w:val="1"/>
    <w:qFormat/>
    <w:uiPriority w:val="34"/>
    <w:pPr>
      <w:ind w:firstLine="420" w:firstLineChars="200"/>
    </w:pPr>
  </w:style>
  <w:style w:type="character" w:customStyle="1" w:styleId="21">
    <w:name w:val="标题 Char"/>
    <w:basedOn w:val="15"/>
    <w:link w:val="11"/>
    <w:qFormat/>
    <w:uiPriority w:val="10"/>
    <w:rPr>
      <w:rFonts w:eastAsia="宋体" w:asciiTheme="majorHAnsi" w:hAnsiTheme="majorHAnsi"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标题 3 Char"/>
    <w:basedOn w:val="15"/>
    <w:link w:val="4"/>
    <w:qFormat/>
    <w:uiPriority w:val="9"/>
    <w:rPr>
      <w:rFonts w:ascii="Times New Roman" w:hAnsi="Times New Roman" w:eastAsia="宋体" w:cs="Times New Roman"/>
      <w:b/>
      <w:bCs/>
      <w:sz w:val="32"/>
      <w:szCs w:val="32"/>
    </w:rPr>
  </w:style>
  <w:style w:type="character" w:customStyle="1" w:styleId="24">
    <w:name w:val="标题 4 Char"/>
    <w:basedOn w:val="15"/>
    <w:link w:val="5"/>
    <w:qFormat/>
    <w:uiPriority w:val="9"/>
    <w:rPr>
      <w:rFonts w:asciiTheme="majorHAnsi" w:hAnsiTheme="majorHAnsi" w:eastAsiaTheme="majorEastAsia" w:cstheme="majorBidi"/>
      <w:b/>
      <w:bCs/>
      <w:sz w:val="28"/>
      <w:szCs w:val="28"/>
    </w:rPr>
  </w:style>
  <w:style w:type="character" w:customStyle="1" w:styleId="25">
    <w:name w:val="标题 1 Char"/>
    <w:basedOn w:val="15"/>
    <w:link w:val="2"/>
    <w:qFormat/>
    <w:uiPriority w:val="9"/>
    <w:rPr>
      <w:rFonts w:ascii="Times New Roman" w:hAnsi="Times New Roman" w:eastAsia="宋体" w:cs="Times New Roman"/>
      <w:b/>
      <w:bCs/>
      <w:kern w:val="44"/>
      <w:sz w:val="44"/>
      <w:szCs w:val="44"/>
    </w:rPr>
  </w:style>
  <w:style w:type="character" w:customStyle="1" w:styleId="26">
    <w:name w:val="HTML 预设格式 Char"/>
    <w:basedOn w:val="15"/>
    <w:link w:val="10"/>
    <w:qFormat/>
    <w:uiPriority w:val="99"/>
    <w:rPr>
      <w:rFonts w:ascii="宋体" w:hAnsi="宋体" w:eastAsia="宋体" w:cs="宋体"/>
      <w:kern w:val="0"/>
      <w:sz w:val="24"/>
      <w:szCs w:val="24"/>
    </w:rPr>
  </w:style>
  <w:style w:type="character" w:customStyle="1" w:styleId="27">
    <w:name w:val="批注文字 Char"/>
    <w:basedOn w:val="15"/>
    <w:link w:val="6"/>
    <w:semiHidden/>
    <w:qFormat/>
    <w:uiPriority w:val="99"/>
    <w:rPr>
      <w:rFonts w:ascii="Times New Roman" w:hAnsi="Times New Roman" w:eastAsia="宋体" w:cs="Times New Roman"/>
      <w:szCs w:val="24"/>
    </w:rPr>
  </w:style>
  <w:style w:type="character" w:customStyle="1" w:styleId="28">
    <w:name w:val="批注主题 Char"/>
    <w:basedOn w:val="27"/>
    <w:link w:val="12"/>
    <w:semiHidden/>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B60D0E-C6C9-48B6-A310-765B28BC9674}">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2</Pages>
  <Words>306</Words>
  <Characters>1746</Characters>
  <Lines>14</Lines>
  <Paragraphs>4</Paragraphs>
  <TotalTime>67</TotalTime>
  <ScaleCrop>false</ScaleCrop>
  <LinksUpToDate>false</LinksUpToDate>
  <CharactersWithSpaces>2048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2018-09-27T05:46:00Z</dcterms:created>
  <dc:creator>黎琳</dc:creator>
  <cp:lastModifiedBy>LiuYunpeng</cp:lastModifiedBy>
  <dcterms:modified xsi:type="dcterms:W3CDTF">2023-03-23T07:10:20Z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